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7647" w14:textId="77777777" w:rsidR="00227E3F" w:rsidRPr="00AE4F43" w:rsidRDefault="0087270E" w:rsidP="0087270E">
      <w:pPr>
        <w:numPr>
          <w:ilvl w:val="0"/>
          <w:numId w:val="2"/>
        </w:numPr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14:paraId="25C355F0" w14:textId="77777777" w:rsidR="0087270E" w:rsidRPr="00AE4F43" w:rsidRDefault="0087270E" w:rsidP="0087270E">
      <w:pPr>
        <w:rPr>
          <w:sz w:val="16"/>
          <w:szCs w:val="16"/>
        </w:rPr>
      </w:pPr>
    </w:p>
    <w:p w14:paraId="11D2FF15" w14:textId="77777777"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Гарантийный срок эксплуатации изделия 12 месяцев со дня вво</w:t>
      </w:r>
      <w:r w:rsidRPr="00FB6D67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14:paraId="66907D00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Срок службы- 10 лет.</w:t>
      </w:r>
    </w:p>
    <w:p w14:paraId="501867EE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5357E3C3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6DC9828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66A2962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0667D0F5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57C7F89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2D993597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14:paraId="69A9AF2E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2DB262E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14:paraId="2F8A41E4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60EA436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5ABEAA65" w14:textId="77777777" w:rsidR="00455919" w:rsidRPr="000062B3" w:rsidRDefault="00455919" w:rsidP="00455919">
      <w:pPr>
        <w:rPr>
          <w:sz w:val="16"/>
          <w:szCs w:val="16"/>
        </w:rPr>
      </w:pPr>
    </w:p>
    <w:p w14:paraId="68FFBE7D" w14:textId="4BA035CB"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14:paraId="363BBB2B" w14:textId="77777777"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0D64A44C" w14:textId="77777777" w:rsidR="00CC4A54" w:rsidRPr="00AE4F43" w:rsidRDefault="00CC4A54" w:rsidP="00CC4A54">
      <w:pPr>
        <w:ind w:left="644"/>
        <w:rPr>
          <w:sz w:val="16"/>
          <w:szCs w:val="16"/>
        </w:rPr>
      </w:pPr>
    </w:p>
    <w:p w14:paraId="462D4BAD" w14:textId="77777777" w:rsidR="00A46181" w:rsidRPr="00E726A6" w:rsidRDefault="00A46181" w:rsidP="00A46181">
      <w:pPr>
        <w:rPr>
          <w:sz w:val="16"/>
          <w:szCs w:val="16"/>
        </w:rPr>
      </w:pPr>
    </w:p>
    <w:p w14:paraId="52BD0636" w14:textId="5A9D08B6"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14:paraId="38A421B4" w14:textId="77777777" w:rsidR="00C41DEC" w:rsidRPr="00AE4F43" w:rsidRDefault="00C41DEC" w:rsidP="00C41DEC">
      <w:pPr>
        <w:rPr>
          <w:sz w:val="16"/>
          <w:szCs w:val="16"/>
        </w:rPr>
      </w:pPr>
    </w:p>
    <w:p w14:paraId="0BADD94D" w14:textId="279A98D0" w:rsidR="00C41DEC" w:rsidRPr="00455919" w:rsidRDefault="00491BEF" w:rsidP="00C41DEC">
      <w:pPr>
        <w:ind w:left="360"/>
        <w:rPr>
          <w:sz w:val="16"/>
          <w:szCs w:val="16"/>
        </w:rPr>
      </w:pPr>
      <w:r w:rsidRPr="00500786">
        <w:rPr>
          <w:sz w:val="16"/>
          <w:szCs w:val="16"/>
        </w:rPr>
        <w:t>Изделие изготовлено и упаковано в соответствии с ТУ 27.12.31-003-</w:t>
      </w:r>
      <w:r w:rsidRPr="00500786">
        <w:rPr>
          <w:bCs/>
          <w:spacing w:val="20"/>
          <w:sz w:val="16"/>
          <w:szCs w:val="16"/>
        </w:rPr>
        <w:t>16610114</w:t>
      </w:r>
      <w:r w:rsidRPr="00500786">
        <w:rPr>
          <w:sz w:val="16"/>
          <w:szCs w:val="16"/>
        </w:rPr>
        <w:t>-2021</w:t>
      </w:r>
      <w:r w:rsidR="00FE18E3" w:rsidRPr="00500786">
        <w:rPr>
          <w:sz w:val="16"/>
          <w:szCs w:val="16"/>
        </w:rPr>
        <w:t xml:space="preserve"> </w:t>
      </w:r>
      <w:proofErr w:type="gramStart"/>
      <w:r w:rsidR="00FE18E3" w:rsidRPr="00500786">
        <w:rPr>
          <w:sz w:val="16"/>
          <w:szCs w:val="16"/>
        </w:rPr>
        <w:t xml:space="preserve">и </w:t>
      </w:r>
      <w:r w:rsidR="004C44BF" w:rsidRPr="00500786">
        <w:rPr>
          <w:sz w:val="16"/>
          <w:szCs w:val="16"/>
        </w:rPr>
        <w:t xml:space="preserve"> </w:t>
      </w:r>
      <w:r w:rsidR="00A70510" w:rsidRPr="00500786">
        <w:rPr>
          <w:sz w:val="16"/>
          <w:szCs w:val="16"/>
        </w:rPr>
        <w:t>соответствует</w:t>
      </w:r>
      <w:proofErr w:type="gramEnd"/>
      <w:r w:rsidR="00A70510" w:rsidRPr="00500786">
        <w:rPr>
          <w:sz w:val="16"/>
          <w:szCs w:val="16"/>
        </w:rPr>
        <w:t xml:space="preserve"> </w:t>
      </w:r>
      <w:r w:rsidR="009D060B" w:rsidRPr="00500786">
        <w:rPr>
          <w:sz w:val="16"/>
          <w:szCs w:val="16"/>
        </w:rPr>
        <w:t xml:space="preserve">требованиям </w:t>
      </w:r>
      <w:r w:rsidR="00FE18E3" w:rsidRPr="00500786">
        <w:rPr>
          <w:sz w:val="16"/>
          <w:szCs w:val="16"/>
        </w:rPr>
        <w:t xml:space="preserve">ГОСТ </w:t>
      </w:r>
      <w:r w:rsidR="00FE18E3" w:rsidRPr="00500786">
        <w:rPr>
          <w:sz w:val="16"/>
          <w:szCs w:val="16"/>
          <w:lang w:val="en-US"/>
        </w:rPr>
        <w:t>IEC</w:t>
      </w:r>
      <w:r w:rsidR="00FE18E3" w:rsidRPr="00500786">
        <w:rPr>
          <w:sz w:val="16"/>
          <w:szCs w:val="16"/>
        </w:rPr>
        <w:t xml:space="preserve"> 60439-3-2012 ,</w:t>
      </w:r>
      <w:r w:rsidR="00A70510" w:rsidRPr="00500786">
        <w:rPr>
          <w:sz w:val="16"/>
          <w:szCs w:val="16"/>
        </w:rPr>
        <w:t>ТР ТС 004/2011, ТР ТС 020/2011 и признан годным для эксплуатации.</w:t>
      </w:r>
    </w:p>
    <w:p w14:paraId="27760975" w14:textId="361D4691" w:rsidR="00C41DEC" w:rsidRPr="00AE4F43" w:rsidRDefault="00597391" w:rsidP="00C41DEC">
      <w:pPr>
        <w:ind w:left="36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6169A9" wp14:editId="28ED63E0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5A6F7" w14:textId="6DF7C3F8"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471F3E27" wp14:editId="63FA1531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14:paraId="4EF34D49" w14:textId="41F0D7C2"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66E8D796" w14:textId="77777777"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0DA38F2E" w14:textId="5525E679" w:rsidR="00C43642" w:rsidRPr="00C43642" w:rsidRDefault="00631E70" w:rsidP="00C43642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F8F49" wp14:editId="49935E77">
            <wp:simplePos x="0" y="0"/>
            <wp:positionH relativeFrom="column">
              <wp:posOffset>2202181</wp:posOffset>
            </wp:positionH>
            <wp:positionV relativeFrom="paragraph">
              <wp:posOffset>109856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88A96" w14:textId="567AF187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0D6206">
        <w:rPr>
          <w:rFonts w:ascii="Times New Roman" w:hAnsi="Times New Roman"/>
          <w:sz w:val="18"/>
          <w:szCs w:val="18"/>
          <w:u w:val="single"/>
        </w:rPr>
        <w:t>06</w:t>
      </w:r>
      <w:r w:rsidR="001604EA">
        <w:rPr>
          <w:rFonts w:ascii="Times New Roman" w:hAnsi="Times New Roman"/>
          <w:sz w:val="18"/>
          <w:szCs w:val="18"/>
          <w:u w:val="single"/>
        </w:rPr>
        <w:t>.0</w:t>
      </w:r>
      <w:r w:rsidR="000D6206">
        <w:rPr>
          <w:rFonts w:ascii="Times New Roman" w:hAnsi="Times New Roman"/>
          <w:sz w:val="18"/>
          <w:szCs w:val="18"/>
          <w:u w:val="single"/>
        </w:rPr>
        <w:t>5</w:t>
      </w:r>
      <w:r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597391">
        <w:rPr>
          <w:rFonts w:ascii="Times New Roman" w:hAnsi="Times New Roman"/>
          <w:sz w:val="18"/>
          <w:szCs w:val="18"/>
          <w:u w:val="single"/>
        </w:rPr>
        <w:t>1</w:t>
      </w:r>
      <w:r w:rsidRPr="00C43642">
        <w:rPr>
          <w:rFonts w:ascii="Times New Roman" w:hAnsi="Times New Roman"/>
          <w:sz w:val="18"/>
          <w:szCs w:val="18"/>
          <w:u w:val="single"/>
        </w:rPr>
        <w:t>___</w:t>
      </w:r>
      <w:r w:rsidRPr="00C43642">
        <w:rPr>
          <w:rFonts w:ascii="Times New Roman" w:hAnsi="Times New Roman"/>
          <w:sz w:val="18"/>
          <w:szCs w:val="18"/>
        </w:rPr>
        <w:t xml:space="preserve"> </w:t>
      </w:r>
    </w:p>
    <w:p w14:paraId="00A98326" w14:textId="77777777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14:paraId="0218F671" w14:textId="68E085AE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C43642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14:paraId="12B2F1EB" w14:textId="77777777" w:rsidR="00C43642" w:rsidRPr="00C43642" w:rsidRDefault="00C43642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</w:t>
      </w: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14:paraId="75F7916E" w14:textId="77777777"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14:paraId="35931E56" w14:textId="5E36846B"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14:paraId="67FFA4BA" w14:textId="2270062A"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14:paraId="555F6B74" w14:textId="5A3A060B"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14:paraId="48AA32F5" w14:textId="77777777"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471B779" w14:textId="77777777"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B2621BF" w14:textId="77777777"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599867F6" w14:textId="77777777"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6D91B63" w14:textId="0B1756E8"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01B1ECA" wp14:editId="0B791BA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8537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10</w:t>
      </w:r>
      <w:r w:rsidR="00A70510" w:rsidRPr="00614B4C">
        <w:rPr>
          <w:color w:val="000000"/>
          <w:sz w:val="22"/>
          <w:szCs w:val="22"/>
        </w:rPr>
        <w:t xml:space="preserve"> </w:t>
      </w:r>
      <w:r w:rsidR="00FA4647" w:rsidRPr="00500786">
        <w:rPr>
          <w:color w:val="000000"/>
          <w:sz w:val="22"/>
          <w:szCs w:val="22"/>
        </w:rPr>
        <w:t>99</w:t>
      </w:r>
      <w:r w:rsidR="00A70510" w:rsidRPr="00500786">
        <w:rPr>
          <w:color w:val="000000"/>
          <w:sz w:val="22"/>
          <w:szCs w:val="22"/>
        </w:rPr>
        <w:t>0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0</w:t>
      </w:r>
    </w:p>
    <w:p w14:paraId="11FC88B3" w14:textId="77777777"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  <w:r w:rsidR="00326E62" w:rsidRPr="00284667">
        <w:rPr>
          <w:color w:val="000000"/>
          <w:sz w:val="22"/>
          <w:szCs w:val="22"/>
        </w:rPr>
        <w:t xml:space="preserve">                                                </w:t>
      </w:r>
    </w:p>
    <w:p w14:paraId="2014E570" w14:textId="77777777"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14:paraId="5CB2CC2F" w14:textId="77777777"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025A6B6" wp14:editId="7F7968EF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0063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22BC395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43FB215E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143BDEC1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57DD5027" w14:textId="77777777"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058D14A" w14:textId="77777777" w:rsidR="00326E62" w:rsidRPr="00A70510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14:paraId="4A61FE0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C5ABC2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FF07F01" w14:textId="77777777"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451F9B" w14:textId="63DDC939" w:rsidR="00EF3A40" w:rsidRPr="00500786" w:rsidRDefault="00FA4647" w:rsidP="00ED6BD8">
      <w:pPr>
        <w:ind w:left="360"/>
        <w:jc w:val="center"/>
        <w:rPr>
          <w:b/>
        </w:rPr>
      </w:pPr>
      <w:r w:rsidRPr="00500786">
        <w:rPr>
          <w:b/>
        </w:rPr>
        <w:t>Н</w:t>
      </w:r>
      <w:r w:rsidR="009D060B" w:rsidRPr="00500786">
        <w:rPr>
          <w:b/>
        </w:rPr>
        <w:t>изковольтное комплектное устройство</w:t>
      </w:r>
    </w:p>
    <w:p w14:paraId="496330A3" w14:textId="70F30A29" w:rsidR="00326E62" w:rsidRPr="00500786" w:rsidRDefault="00FA4647" w:rsidP="00326E62">
      <w:pPr>
        <w:ind w:left="284"/>
        <w:jc w:val="center"/>
        <w:rPr>
          <w:b/>
          <w:sz w:val="22"/>
          <w:szCs w:val="22"/>
        </w:rPr>
      </w:pPr>
      <w:r w:rsidRPr="00500786">
        <w:rPr>
          <w:b/>
          <w:sz w:val="22"/>
          <w:szCs w:val="22"/>
        </w:rPr>
        <w:t>типа</w:t>
      </w:r>
    </w:p>
    <w:p w14:paraId="7D4DB0E8" w14:textId="3AB83036"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500786">
        <w:rPr>
          <w:rFonts w:eastAsia="Calibri"/>
          <w:b/>
          <w:spacing w:val="0"/>
          <w:sz w:val="22"/>
          <w:szCs w:val="22"/>
        </w:rPr>
        <w:t>НК</w:t>
      </w:r>
      <w:r w:rsidR="00326E62" w:rsidRPr="00500786">
        <w:rPr>
          <w:rFonts w:eastAsia="Calibri"/>
          <w:b/>
          <w:spacing w:val="0"/>
          <w:sz w:val="22"/>
          <w:szCs w:val="22"/>
        </w:rPr>
        <w:t>У</w:t>
      </w:r>
      <w:r w:rsidR="0098049E" w:rsidRPr="0098049E">
        <w:rPr>
          <w:b/>
          <w:sz w:val="22"/>
          <w:szCs w:val="22"/>
        </w:rPr>
        <w:t>-ЭТ-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05</w:t>
      </w:r>
      <w:r w:rsidR="003332C8" w:rsidRPr="003332C8">
        <w:rPr>
          <w:b/>
          <w:sz w:val="22"/>
          <w:szCs w:val="22"/>
        </w:rPr>
        <w:t>-</w:t>
      </w:r>
      <w:r w:rsidR="000D6206">
        <w:rPr>
          <w:b/>
          <w:sz w:val="22"/>
          <w:szCs w:val="22"/>
        </w:rPr>
        <w:t>100</w:t>
      </w:r>
      <w:r w:rsidR="00741CC2">
        <w:rPr>
          <w:b/>
          <w:sz w:val="22"/>
          <w:szCs w:val="22"/>
        </w:rPr>
        <w:t>-УХЛ</w:t>
      </w:r>
      <w:r w:rsidR="006961BF">
        <w:rPr>
          <w:b/>
          <w:sz w:val="22"/>
          <w:szCs w:val="22"/>
        </w:rPr>
        <w:t>4</w:t>
      </w:r>
    </w:p>
    <w:p w14:paraId="2888B05D" w14:textId="77777777" w:rsidR="005958A5" w:rsidRPr="00912E0D" w:rsidRDefault="005958A5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</w:p>
    <w:p w14:paraId="1EE2B1D5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14:paraId="79CD0E3E" w14:textId="46E48E19"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0D6206">
        <w:rPr>
          <w:color w:val="000000"/>
          <w:sz w:val="22"/>
          <w:szCs w:val="22"/>
        </w:rPr>
        <w:t>4805</w:t>
      </w:r>
      <w:r w:rsidR="00597391" w:rsidRPr="00597391">
        <w:rPr>
          <w:color w:val="000000"/>
          <w:sz w:val="22"/>
          <w:szCs w:val="22"/>
        </w:rPr>
        <w:t>2021</w:t>
      </w:r>
    </w:p>
    <w:p w14:paraId="4AA866DF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 xml:space="preserve"> </w:t>
      </w:r>
    </w:p>
    <w:p w14:paraId="397F46B7" w14:textId="4E7D6A4B"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14:paraId="62C89BD1" w14:textId="77777777"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14:paraId="2138737B" w14:textId="472F2CCE"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14:paraId="450E89C0" w14:textId="0DB2EA10"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14:paraId="59C76902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52145EE5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728969FB" w14:textId="77777777"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1CB3A684" w14:textId="77777777"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54883DFF" w14:textId="77777777" w:rsidR="0096757C" w:rsidRDefault="0096757C" w:rsidP="00326E62">
      <w:pPr>
        <w:ind w:left="284"/>
        <w:jc w:val="center"/>
        <w:rPr>
          <w:sz w:val="22"/>
          <w:szCs w:val="22"/>
        </w:rPr>
      </w:pPr>
    </w:p>
    <w:p w14:paraId="09BF3176" w14:textId="77777777" w:rsidR="005E01D2" w:rsidRDefault="005E01D2" w:rsidP="00326E62">
      <w:pPr>
        <w:ind w:left="284"/>
        <w:jc w:val="center"/>
        <w:rPr>
          <w:sz w:val="22"/>
          <w:szCs w:val="22"/>
        </w:rPr>
      </w:pPr>
    </w:p>
    <w:p w14:paraId="56FF7D5C" w14:textId="576CEAB4"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</w:t>
      </w:r>
      <w:r w:rsidR="00597391">
        <w:rPr>
          <w:sz w:val="22"/>
          <w:szCs w:val="22"/>
        </w:rPr>
        <w:t xml:space="preserve"> </w:t>
      </w:r>
      <w:r w:rsidRPr="00284667">
        <w:rPr>
          <w:sz w:val="22"/>
          <w:szCs w:val="22"/>
        </w:rPr>
        <w:t>Иркутск</w:t>
      </w:r>
      <w:r w:rsidR="009D060B">
        <w:rPr>
          <w:sz w:val="22"/>
          <w:szCs w:val="22"/>
        </w:rPr>
        <w:t>, 2021</w:t>
      </w:r>
    </w:p>
    <w:p w14:paraId="3C63B03D" w14:textId="77777777" w:rsidR="009D060B" w:rsidRDefault="009D060B" w:rsidP="00597391">
      <w:pPr>
        <w:jc w:val="center"/>
        <w:rPr>
          <w:sz w:val="22"/>
          <w:szCs w:val="22"/>
        </w:rPr>
      </w:pPr>
    </w:p>
    <w:p w14:paraId="0874CD5E" w14:textId="77777777" w:rsidR="009D060B" w:rsidRDefault="009D060B" w:rsidP="00597391">
      <w:pPr>
        <w:jc w:val="center"/>
        <w:rPr>
          <w:sz w:val="22"/>
          <w:szCs w:val="22"/>
        </w:rPr>
      </w:pPr>
    </w:p>
    <w:p w14:paraId="03F737B0" w14:textId="77777777" w:rsidR="009D060B" w:rsidRDefault="009D060B" w:rsidP="00597391">
      <w:pPr>
        <w:jc w:val="center"/>
        <w:rPr>
          <w:sz w:val="22"/>
          <w:szCs w:val="22"/>
        </w:rPr>
      </w:pPr>
    </w:p>
    <w:p w14:paraId="3E2018AE" w14:textId="77777777" w:rsidR="009D060B" w:rsidRDefault="009D060B" w:rsidP="00597391">
      <w:pPr>
        <w:jc w:val="center"/>
        <w:rPr>
          <w:sz w:val="22"/>
          <w:szCs w:val="22"/>
        </w:rPr>
      </w:pPr>
    </w:p>
    <w:p w14:paraId="705F9876" w14:textId="77777777" w:rsidR="009D060B" w:rsidRDefault="009D060B" w:rsidP="00597391">
      <w:pPr>
        <w:jc w:val="center"/>
        <w:rPr>
          <w:sz w:val="22"/>
          <w:szCs w:val="22"/>
        </w:rPr>
      </w:pPr>
    </w:p>
    <w:p w14:paraId="1E68CB20" w14:textId="77777777" w:rsidR="009D060B" w:rsidRDefault="009D060B" w:rsidP="00597391">
      <w:pPr>
        <w:jc w:val="center"/>
        <w:rPr>
          <w:sz w:val="22"/>
          <w:szCs w:val="22"/>
        </w:rPr>
      </w:pPr>
    </w:p>
    <w:p w14:paraId="35453F9A" w14:textId="77777777" w:rsidR="009D060B" w:rsidRDefault="009D060B" w:rsidP="00597391">
      <w:pPr>
        <w:jc w:val="center"/>
        <w:rPr>
          <w:sz w:val="22"/>
          <w:szCs w:val="22"/>
        </w:rPr>
      </w:pPr>
    </w:p>
    <w:p w14:paraId="3CA5BA88" w14:textId="77777777" w:rsidR="009D060B" w:rsidRDefault="009D060B" w:rsidP="00597391">
      <w:pPr>
        <w:jc w:val="center"/>
        <w:rPr>
          <w:sz w:val="22"/>
          <w:szCs w:val="22"/>
        </w:rPr>
      </w:pPr>
    </w:p>
    <w:p w14:paraId="6968C7B6" w14:textId="77777777" w:rsidR="00FB6D67" w:rsidRDefault="00FB6D67" w:rsidP="00597391">
      <w:pPr>
        <w:jc w:val="center"/>
        <w:rPr>
          <w:sz w:val="22"/>
          <w:szCs w:val="22"/>
        </w:rPr>
      </w:pPr>
    </w:p>
    <w:p w14:paraId="73C28494" w14:textId="77777777" w:rsidR="00FB6D67" w:rsidRDefault="00FB6D67" w:rsidP="00597391">
      <w:pPr>
        <w:jc w:val="center"/>
        <w:rPr>
          <w:sz w:val="22"/>
          <w:szCs w:val="22"/>
        </w:rPr>
      </w:pPr>
    </w:p>
    <w:p w14:paraId="2279254A" w14:textId="77777777"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14:paraId="1C984CD2" w14:textId="77777777" w:rsidR="00CA32E6" w:rsidRPr="00326E62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326E62">
        <w:rPr>
          <w:b/>
          <w:sz w:val="20"/>
          <w:szCs w:val="20"/>
        </w:rPr>
        <w:t>Назначение</w:t>
      </w:r>
    </w:p>
    <w:p w14:paraId="20E874A3" w14:textId="5E46264C" w:rsidR="00C57A31" w:rsidRPr="00500786" w:rsidRDefault="009D060B" w:rsidP="00661AA9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500786">
        <w:rPr>
          <w:sz w:val="16"/>
          <w:szCs w:val="16"/>
        </w:rPr>
        <w:t>Низковольтное комплектное устройство (далее- НКУ)</w:t>
      </w:r>
      <w:r w:rsidR="00CA32E6" w:rsidRPr="00500786">
        <w:rPr>
          <w:sz w:val="16"/>
          <w:szCs w:val="16"/>
        </w:rPr>
        <w:t xml:space="preserve"> предназначены для ввода, учета и распределения электрической энергии и защиты линий при </w:t>
      </w:r>
      <w:proofErr w:type="gramStart"/>
      <w:r w:rsidR="00CA32E6" w:rsidRPr="00500786">
        <w:rPr>
          <w:sz w:val="16"/>
          <w:szCs w:val="16"/>
        </w:rPr>
        <w:t>перегрузках  и</w:t>
      </w:r>
      <w:proofErr w:type="gramEnd"/>
      <w:r w:rsidR="00CA32E6" w:rsidRPr="00500786">
        <w:rPr>
          <w:sz w:val="16"/>
          <w:szCs w:val="16"/>
        </w:rPr>
        <w:t xml:space="preserve"> коротких замыканиях в трехфазных сетях напряжением сети 380</w:t>
      </w:r>
      <w:r w:rsidR="00A70510" w:rsidRPr="00500786">
        <w:rPr>
          <w:sz w:val="16"/>
          <w:szCs w:val="16"/>
        </w:rPr>
        <w:t xml:space="preserve"> </w:t>
      </w:r>
      <w:r w:rsidR="00CA32E6" w:rsidRPr="00500786">
        <w:rPr>
          <w:sz w:val="16"/>
          <w:szCs w:val="16"/>
        </w:rPr>
        <w:t xml:space="preserve">частоты 50 и 60 Гц с </w:t>
      </w:r>
      <w:r w:rsidR="00AE4F43" w:rsidRPr="00500786">
        <w:rPr>
          <w:sz w:val="16"/>
          <w:szCs w:val="16"/>
        </w:rPr>
        <w:t>глухо заземлённой</w:t>
      </w:r>
      <w:r w:rsidR="00CA32E6" w:rsidRPr="00500786">
        <w:rPr>
          <w:sz w:val="16"/>
          <w:szCs w:val="16"/>
        </w:rPr>
        <w:t xml:space="preserve"> нейт</w:t>
      </w:r>
      <w:r w:rsidR="00C57A31" w:rsidRPr="00500786">
        <w:rPr>
          <w:sz w:val="16"/>
          <w:szCs w:val="16"/>
        </w:rPr>
        <w:t>ралью.</w:t>
      </w:r>
      <w:r w:rsidR="003529F3" w:rsidRPr="00500786">
        <w:rPr>
          <w:sz w:val="16"/>
          <w:szCs w:val="16"/>
        </w:rPr>
        <w:t xml:space="preserve"> </w:t>
      </w:r>
      <w:r w:rsidR="00C57A31" w:rsidRPr="00500786">
        <w:rPr>
          <w:sz w:val="16"/>
          <w:szCs w:val="16"/>
        </w:rPr>
        <w:t xml:space="preserve"> </w:t>
      </w:r>
      <w:r w:rsidRPr="00500786">
        <w:rPr>
          <w:sz w:val="16"/>
          <w:szCs w:val="16"/>
        </w:rPr>
        <w:t xml:space="preserve">НКУ </w:t>
      </w:r>
      <w:r w:rsidR="00C57A31" w:rsidRPr="00500786">
        <w:rPr>
          <w:sz w:val="16"/>
          <w:szCs w:val="16"/>
        </w:rPr>
        <w:t>устанавливаются в многоэтажных и малоэтажных жилых, общественных и промышленных зданиях, а также в индивидуальных домах и коттеджах.</w:t>
      </w:r>
    </w:p>
    <w:p w14:paraId="10CF43A5" w14:textId="77777777" w:rsidR="00C57A31" w:rsidRPr="00500786" w:rsidRDefault="00C57A31" w:rsidP="00C57A31">
      <w:pPr>
        <w:rPr>
          <w:sz w:val="16"/>
          <w:szCs w:val="16"/>
        </w:rPr>
      </w:pPr>
      <w:r w:rsidRPr="00500786">
        <w:rPr>
          <w:sz w:val="16"/>
          <w:szCs w:val="16"/>
        </w:rPr>
        <w:t xml:space="preserve">         </w:t>
      </w:r>
    </w:p>
    <w:p w14:paraId="76334945" w14:textId="77777777" w:rsidR="005806EE" w:rsidRPr="00500786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500786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500786" w14:paraId="47AA6548" w14:textId="77777777" w:rsidTr="00286891">
        <w:tc>
          <w:tcPr>
            <w:tcW w:w="6061" w:type="dxa"/>
            <w:vAlign w:val="center"/>
          </w:tcPr>
          <w:p w14:paraId="2CE9D697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14:paraId="21DA1D7F" w14:textId="5E20B57D" w:rsidR="00F632EC" w:rsidRPr="00500786" w:rsidRDefault="000D6206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632EC" w:rsidRPr="00500786" w14:paraId="497AD326" w14:textId="77777777" w:rsidTr="00286891">
        <w:tc>
          <w:tcPr>
            <w:tcW w:w="6061" w:type="dxa"/>
            <w:vAlign w:val="center"/>
          </w:tcPr>
          <w:p w14:paraId="6EFC5452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14:paraId="613BAD79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500786" w14:paraId="6767DF1F" w14:textId="77777777" w:rsidTr="00286891">
        <w:tc>
          <w:tcPr>
            <w:tcW w:w="6061" w:type="dxa"/>
            <w:vAlign w:val="center"/>
          </w:tcPr>
          <w:p w14:paraId="08032AA1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14:paraId="7C872373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500786" w14:paraId="0C77E08E" w14:textId="77777777" w:rsidTr="00286891">
        <w:tc>
          <w:tcPr>
            <w:tcW w:w="6061" w:type="dxa"/>
            <w:vAlign w:val="center"/>
          </w:tcPr>
          <w:p w14:paraId="16E79B48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14:paraId="4E3CC5AA" w14:textId="198F8CFC" w:rsidR="00F632EC" w:rsidRPr="00500786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500786" w14:paraId="231E4FB7" w14:textId="77777777" w:rsidTr="00286891">
        <w:tc>
          <w:tcPr>
            <w:tcW w:w="6061" w:type="dxa"/>
            <w:vAlign w:val="center"/>
          </w:tcPr>
          <w:p w14:paraId="6DEE5A3C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14:paraId="6C08A7E8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500786" w14:paraId="77F3DCF0" w14:textId="77777777" w:rsidTr="00286891">
        <w:tc>
          <w:tcPr>
            <w:tcW w:w="6061" w:type="dxa"/>
            <w:vAlign w:val="center"/>
          </w:tcPr>
          <w:p w14:paraId="5CE4F0A0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Номинальное напряжение вспомогательных цепей, </w:t>
            </w:r>
            <w:proofErr w:type="gramStart"/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325" w:type="dxa"/>
          </w:tcPr>
          <w:p w14:paraId="55F01F76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F632EC" w:rsidRPr="00500786" w14:paraId="7DD4ACC5" w14:textId="77777777" w:rsidTr="00286891">
        <w:tc>
          <w:tcPr>
            <w:tcW w:w="6061" w:type="dxa"/>
            <w:vAlign w:val="center"/>
          </w:tcPr>
          <w:p w14:paraId="616FD2AE" w14:textId="6EEC230A" w:rsidR="00F632EC" w:rsidRPr="00500786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Номинальный ударный ток короткого замыкания, кА</w:t>
            </w:r>
          </w:p>
        </w:tc>
        <w:tc>
          <w:tcPr>
            <w:tcW w:w="1325" w:type="dxa"/>
          </w:tcPr>
          <w:p w14:paraId="19F241D8" w14:textId="15EF6C2B" w:rsidR="00F632EC" w:rsidRPr="00500786" w:rsidRDefault="000D6206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F632EC" w:rsidRPr="00500786" w14:paraId="1DD58052" w14:textId="77777777" w:rsidTr="00286891">
        <w:tc>
          <w:tcPr>
            <w:tcW w:w="6061" w:type="dxa"/>
            <w:vAlign w:val="center"/>
          </w:tcPr>
          <w:p w14:paraId="62F4EF5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14:paraId="698E9420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F632EC" w:rsidRPr="00500786" w14:paraId="14BDD0C5" w14:textId="77777777" w:rsidTr="00286891">
        <w:tc>
          <w:tcPr>
            <w:tcW w:w="6061" w:type="dxa"/>
            <w:vAlign w:val="center"/>
          </w:tcPr>
          <w:p w14:paraId="22A8847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14:paraId="35EE5EF6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F632EC" w:rsidRPr="00500786" w14:paraId="3DE6F3FA" w14:textId="77777777" w:rsidTr="00286891">
        <w:tc>
          <w:tcPr>
            <w:tcW w:w="6061" w:type="dxa"/>
            <w:vAlign w:val="center"/>
          </w:tcPr>
          <w:p w14:paraId="50FEE165" w14:textId="77777777" w:rsidR="00F632EC" w:rsidRPr="00500786" w:rsidRDefault="00F632EC" w:rsidP="00286891">
            <w:pPr>
              <w:tabs>
                <w:tab w:val="num" w:pos="709"/>
              </w:tabs>
              <w:ind w:left="36"/>
              <w:rPr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загрязнения окружающей среды  согласно ГОСТ 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 60439-3.</w:t>
            </w:r>
          </w:p>
        </w:tc>
        <w:tc>
          <w:tcPr>
            <w:tcW w:w="1325" w:type="dxa"/>
          </w:tcPr>
          <w:p w14:paraId="5D19B2A3" w14:textId="77777777" w:rsidR="00F632EC" w:rsidRPr="00500786" w:rsidRDefault="00F632EC" w:rsidP="00286891">
            <w:pPr>
              <w:jc w:val="center"/>
              <w:rPr>
                <w:color w:val="FF0000"/>
                <w:sz w:val="16"/>
                <w:szCs w:val="16"/>
              </w:rPr>
            </w:pPr>
            <w:r w:rsidRPr="00500786">
              <w:rPr>
                <w:sz w:val="16"/>
                <w:szCs w:val="16"/>
              </w:rPr>
              <w:t>2</w:t>
            </w:r>
          </w:p>
        </w:tc>
      </w:tr>
      <w:tr w:rsidR="00F632EC" w:rsidRPr="00500786" w14:paraId="4F2D18C8" w14:textId="77777777" w:rsidTr="00286891">
        <w:tc>
          <w:tcPr>
            <w:tcW w:w="6061" w:type="dxa"/>
            <w:vAlign w:val="center"/>
          </w:tcPr>
          <w:p w14:paraId="602A92B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14:paraId="5C4B489A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F632EC" w:rsidRPr="00500786" w14:paraId="7FAB38A2" w14:textId="77777777" w:rsidTr="00286891">
        <w:tc>
          <w:tcPr>
            <w:tcW w:w="6061" w:type="dxa"/>
            <w:vAlign w:val="center"/>
          </w:tcPr>
          <w:p w14:paraId="101C8C8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14:paraId="32479851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F632EC" w:rsidRPr="00500786" w14:paraId="419B5EEC" w14:textId="77777777" w:rsidTr="00286891">
        <w:tc>
          <w:tcPr>
            <w:tcW w:w="6061" w:type="dxa"/>
            <w:vAlign w:val="center"/>
          </w:tcPr>
          <w:p w14:paraId="66A89D8E" w14:textId="77777777" w:rsidR="00F632EC" w:rsidRPr="00500786" w:rsidRDefault="00F632EC" w:rsidP="00286891">
            <w:pPr>
              <w:rPr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14:paraId="6DB1306B" w14:textId="77777777" w:rsidR="00F632EC" w:rsidRPr="00500786" w:rsidRDefault="00F632EC" w:rsidP="00286891">
            <w:pPr>
              <w:jc w:val="center"/>
              <w:rPr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F632EC" w:rsidRPr="00500786" w14:paraId="20F9EDFE" w14:textId="77777777" w:rsidTr="00286891">
        <w:tc>
          <w:tcPr>
            <w:tcW w:w="6061" w:type="dxa"/>
            <w:vAlign w:val="center"/>
          </w:tcPr>
          <w:p w14:paraId="00956CDD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325" w:type="dxa"/>
          </w:tcPr>
          <w:p w14:paraId="7F7E07B0" w14:textId="1A29204E" w:rsidR="00F632EC" w:rsidRPr="00500786" w:rsidRDefault="00F632EC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F632EC" w:rsidRPr="00500786" w14:paraId="7B64F80F" w14:textId="77777777" w:rsidTr="00286891">
        <w:tc>
          <w:tcPr>
            <w:tcW w:w="6061" w:type="dxa"/>
            <w:vAlign w:val="center"/>
          </w:tcPr>
          <w:p w14:paraId="2F2BDC73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размеры, </w:t>
            </w:r>
            <w:proofErr w:type="gramStart"/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мм  В</w:t>
            </w:r>
            <w:proofErr w:type="gramEnd"/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/Ш/Г</w:t>
            </w:r>
          </w:p>
        </w:tc>
        <w:tc>
          <w:tcPr>
            <w:tcW w:w="1325" w:type="dxa"/>
          </w:tcPr>
          <w:p w14:paraId="40B503F0" w14:textId="133B3998" w:rsidR="00F632EC" w:rsidRPr="000D6206" w:rsidRDefault="000D6206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F632EC" w:rsidRPr="005007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632EC"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F632EC" w:rsidRPr="005007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632EC"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F632EC" w:rsidRPr="00500786" w14:paraId="67FB4734" w14:textId="77777777" w:rsidTr="00286891">
        <w:tc>
          <w:tcPr>
            <w:tcW w:w="6061" w:type="dxa"/>
            <w:vAlign w:val="center"/>
          </w:tcPr>
          <w:p w14:paraId="6B8D4A89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14:paraId="267169F9" w14:textId="1D1FFD40" w:rsidR="00F632EC" w:rsidRPr="00500786" w:rsidRDefault="000D6206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632EC" w:rsidRPr="005007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632EC" w:rsidRPr="00500786" w14:paraId="598675FC" w14:textId="77777777" w:rsidTr="00286891">
        <w:tc>
          <w:tcPr>
            <w:tcW w:w="6061" w:type="dxa"/>
            <w:vAlign w:val="center"/>
          </w:tcPr>
          <w:p w14:paraId="2DE77640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23B03F5B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3B7B5230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050CC3E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14:paraId="55C3F478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напольное</w:t>
            </w:r>
          </w:p>
        </w:tc>
      </w:tr>
    </w:tbl>
    <w:p w14:paraId="288EC74A" w14:textId="77777777" w:rsidR="005806EE" w:rsidRPr="00500786" w:rsidRDefault="005806EE" w:rsidP="005806EE">
      <w:pPr>
        <w:rPr>
          <w:sz w:val="16"/>
          <w:szCs w:val="16"/>
        </w:rPr>
      </w:pPr>
    </w:p>
    <w:p w14:paraId="1EE5B804" w14:textId="658F6780" w:rsidR="00F632EC" w:rsidRPr="00500786" w:rsidRDefault="00661AA9" w:rsidP="00661AA9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500786">
        <w:rPr>
          <w:b/>
          <w:bCs/>
          <w:color w:val="000000"/>
          <w:sz w:val="16"/>
          <w:szCs w:val="16"/>
        </w:rPr>
        <w:t>3.</w:t>
      </w:r>
      <w:r w:rsidR="00F632EC" w:rsidRPr="00500786">
        <w:rPr>
          <w:b/>
          <w:bCs/>
          <w:color w:val="000000"/>
          <w:sz w:val="16"/>
          <w:szCs w:val="16"/>
        </w:rPr>
        <w:t>УСЛОВИЯ ЭКСПЛУАТАЦИИ</w:t>
      </w:r>
    </w:p>
    <w:p w14:paraId="6999BA59" w14:textId="708E3972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500786">
        <w:rPr>
          <w:sz w:val="16"/>
          <w:szCs w:val="16"/>
        </w:rPr>
        <w:t>в следующих условиях:</w:t>
      </w:r>
    </w:p>
    <w:p w14:paraId="0AD79D4E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0CBA81F2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6A17D4C3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с) высота над уровнем моря – не более 2000 м;</w:t>
      </w:r>
    </w:p>
    <w:p w14:paraId="2F4A315B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d</w:t>
      </w:r>
      <w:r w:rsidRPr="00500786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4C5434D8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6DD13051" w14:textId="557C1291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f</w:t>
      </w:r>
      <w:r w:rsidRPr="00500786">
        <w:rPr>
          <w:sz w:val="16"/>
          <w:szCs w:val="16"/>
        </w:rPr>
        <w:t xml:space="preserve">) степень загрязнения окружающей среды – 2 по ГОСТ </w:t>
      </w:r>
      <w:r w:rsidRPr="00500786">
        <w:rPr>
          <w:sz w:val="16"/>
          <w:szCs w:val="16"/>
          <w:lang w:val="en-US"/>
        </w:rPr>
        <w:t>IEC</w:t>
      </w:r>
      <w:r w:rsidRPr="00500786">
        <w:rPr>
          <w:sz w:val="16"/>
          <w:szCs w:val="16"/>
        </w:rPr>
        <w:t xml:space="preserve"> 60439-3</w:t>
      </w:r>
    </w:p>
    <w:p w14:paraId="0D377C7B" w14:textId="750B997D" w:rsidR="00F632EC" w:rsidRPr="00500786" w:rsidRDefault="00B1437C" w:rsidP="00B1437C">
      <w:pPr>
        <w:rPr>
          <w:sz w:val="16"/>
          <w:szCs w:val="16"/>
        </w:rPr>
      </w:pPr>
      <w:r w:rsidRPr="00500786">
        <w:rPr>
          <w:sz w:val="16"/>
          <w:szCs w:val="16"/>
        </w:rPr>
        <w:t xml:space="preserve">   </w:t>
      </w:r>
      <w:r w:rsidR="00F632EC" w:rsidRPr="00500786">
        <w:rPr>
          <w:sz w:val="16"/>
          <w:szCs w:val="16"/>
        </w:rPr>
        <w:t>Перед вводом в эксплуатацию все соединения должны быть под</w:t>
      </w:r>
      <w:r w:rsidR="00F632EC" w:rsidRPr="00500786">
        <w:rPr>
          <w:sz w:val="16"/>
          <w:szCs w:val="16"/>
        </w:rPr>
        <w:softHyphen/>
        <w:t>тянуты.</w:t>
      </w:r>
    </w:p>
    <w:p w14:paraId="24AF2146" w14:textId="77777777" w:rsidR="00F632EC" w:rsidRPr="00500786" w:rsidRDefault="00F632EC" w:rsidP="00B1437C">
      <w:pPr>
        <w:rPr>
          <w:sz w:val="16"/>
          <w:szCs w:val="16"/>
        </w:rPr>
      </w:pPr>
      <w:r w:rsidRPr="00500786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6D9C42CF" w14:textId="77777777" w:rsidR="00F632EC" w:rsidRPr="00500786" w:rsidRDefault="00F632EC" w:rsidP="00B1437C">
      <w:pPr>
        <w:rPr>
          <w:sz w:val="16"/>
          <w:szCs w:val="16"/>
        </w:rPr>
      </w:pPr>
      <w:r w:rsidRPr="00500786">
        <w:rPr>
          <w:sz w:val="16"/>
          <w:szCs w:val="16"/>
        </w:rPr>
        <w:t>Эксплуатация НКУ должна производиться в соответствии с «Пра</w:t>
      </w:r>
      <w:r w:rsidRPr="00500786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6DE984E4" w14:textId="2D479A00" w:rsidR="00946988" w:rsidRPr="00500786" w:rsidRDefault="00661AA9" w:rsidP="00661AA9">
      <w:pPr>
        <w:ind w:left="142"/>
        <w:rPr>
          <w:b/>
          <w:sz w:val="20"/>
          <w:szCs w:val="20"/>
        </w:rPr>
      </w:pPr>
      <w:r w:rsidRPr="00500786">
        <w:rPr>
          <w:b/>
          <w:sz w:val="20"/>
          <w:szCs w:val="20"/>
        </w:rPr>
        <w:t>4</w:t>
      </w:r>
      <w:r w:rsidRPr="00500786">
        <w:rPr>
          <w:sz w:val="16"/>
          <w:szCs w:val="16"/>
        </w:rPr>
        <w:t>.</w:t>
      </w:r>
      <w:r w:rsidR="00AE4F43" w:rsidRPr="00500786">
        <w:rPr>
          <w:sz w:val="16"/>
          <w:szCs w:val="16"/>
        </w:rPr>
        <w:t xml:space="preserve"> </w:t>
      </w:r>
      <w:r w:rsidR="00946988" w:rsidRPr="00500786">
        <w:rPr>
          <w:b/>
          <w:sz w:val="20"/>
          <w:szCs w:val="20"/>
        </w:rPr>
        <w:t>Комплект поставки.</w:t>
      </w:r>
    </w:p>
    <w:p w14:paraId="29E0CD58" w14:textId="73DF2933" w:rsidR="00946988" w:rsidRPr="00500786" w:rsidRDefault="00946988" w:rsidP="00661AA9">
      <w:pPr>
        <w:pStyle w:val="aa"/>
        <w:numPr>
          <w:ilvl w:val="1"/>
          <w:numId w:val="16"/>
        </w:numPr>
        <w:tabs>
          <w:tab w:val="left" w:pos="426"/>
        </w:tabs>
        <w:ind w:left="142" w:firstLine="0"/>
        <w:rPr>
          <w:sz w:val="16"/>
          <w:szCs w:val="16"/>
        </w:rPr>
      </w:pPr>
      <w:r w:rsidRPr="00500786">
        <w:rPr>
          <w:sz w:val="16"/>
          <w:szCs w:val="16"/>
        </w:rPr>
        <w:t>В комплект поставки входят:</w:t>
      </w:r>
    </w:p>
    <w:p w14:paraId="30327ED6" w14:textId="0E1DC4A6" w:rsidR="00946988" w:rsidRPr="00500786" w:rsidRDefault="00946988" w:rsidP="00661AA9">
      <w:pPr>
        <w:tabs>
          <w:tab w:val="num" w:pos="426"/>
        </w:tabs>
        <w:ind w:left="142"/>
        <w:rPr>
          <w:sz w:val="16"/>
          <w:szCs w:val="16"/>
        </w:rPr>
      </w:pPr>
      <w:proofErr w:type="gramStart"/>
      <w:r w:rsidRPr="00500786">
        <w:rPr>
          <w:sz w:val="16"/>
          <w:szCs w:val="16"/>
        </w:rPr>
        <w:t xml:space="preserve">а) </w:t>
      </w:r>
      <w:r w:rsidR="00661AA9" w:rsidRPr="00500786">
        <w:rPr>
          <w:sz w:val="16"/>
          <w:szCs w:val="16"/>
        </w:rPr>
        <w:t xml:space="preserve"> НКУ</w:t>
      </w:r>
      <w:proofErr w:type="gramEnd"/>
      <w:r w:rsidRPr="00500786">
        <w:rPr>
          <w:sz w:val="16"/>
          <w:szCs w:val="16"/>
        </w:rPr>
        <w:t>, в комплектации согласно заказа;</w:t>
      </w:r>
    </w:p>
    <w:p w14:paraId="1C38B7BA" w14:textId="231BEC33" w:rsidR="00946988" w:rsidRPr="00500786" w:rsidRDefault="00946988" w:rsidP="00661AA9">
      <w:pPr>
        <w:tabs>
          <w:tab w:val="num" w:pos="426"/>
        </w:tabs>
        <w:ind w:left="142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b</w:t>
      </w:r>
      <w:r w:rsidRPr="00500786">
        <w:rPr>
          <w:sz w:val="16"/>
          <w:szCs w:val="16"/>
        </w:rPr>
        <w:t>)</w:t>
      </w:r>
      <w:r w:rsidR="00661AA9" w:rsidRPr="00500786">
        <w:rPr>
          <w:sz w:val="16"/>
          <w:szCs w:val="16"/>
        </w:rPr>
        <w:t xml:space="preserve"> </w:t>
      </w:r>
      <w:r w:rsidRPr="00500786">
        <w:rPr>
          <w:sz w:val="16"/>
          <w:szCs w:val="16"/>
        </w:rPr>
        <w:t xml:space="preserve"> </w:t>
      </w:r>
      <w:r w:rsidR="00AE4F43" w:rsidRPr="00500786">
        <w:rPr>
          <w:sz w:val="16"/>
          <w:szCs w:val="16"/>
        </w:rPr>
        <w:t>Паспорт</w:t>
      </w:r>
      <w:r w:rsidR="00543600" w:rsidRPr="00500786">
        <w:rPr>
          <w:sz w:val="16"/>
          <w:szCs w:val="16"/>
        </w:rPr>
        <w:t xml:space="preserve"> и руководство по эксплуатации – 1 шт.</w:t>
      </w:r>
    </w:p>
    <w:p w14:paraId="46ED2832" w14:textId="158ED206" w:rsidR="00543600" w:rsidRPr="00500786" w:rsidRDefault="00543600" w:rsidP="00661AA9">
      <w:pPr>
        <w:tabs>
          <w:tab w:val="num" w:pos="426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 xml:space="preserve">с) </w:t>
      </w:r>
      <w:r w:rsidR="00661AA9" w:rsidRPr="00500786">
        <w:rPr>
          <w:sz w:val="16"/>
          <w:szCs w:val="16"/>
        </w:rPr>
        <w:t xml:space="preserve"> </w:t>
      </w:r>
      <w:r w:rsidRPr="00500786">
        <w:rPr>
          <w:sz w:val="16"/>
          <w:szCs w:val="16"/>
        </w:rPr>
        <w:t>ключи от дверей – 1 комплект;</w:t>
      </w:r>
    </w:p>
    <w:p w14:paraId="1645CC24" w14:textId="531D9A32" w:rsidR="00910D34" w:rsidRPr="00500786" w:rsidRDefault="00910D34" w:rsidP="00661AA9">
      <w:pPr>
        <w:pStyle w:val="aa"/>
        <w:numPr>
          <w:ilvl w:val="1"/>
          <w:numId w:val="16"/>
        </w:numPr>
        <w:tabs>
          <w:tab w:val="left" w:pos="426"/>
        </w:tabs>
        <w:ind w:left="142" w:firstLine="0"/>
        <w:rPr>
          <w:sz w:val="16"/>
          <w:szCs w:val="16"/>
        </w:rPr>
      </w:pPr>
      <w:r w:rsidRPr="00500786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0EB5389A" w14:textId="77777777" w:rsidR="00910D34" w:rsidRPr="00500786" w:rsidRDefault="00910D34" w:rsidP="00661AA9">
      <w:pPr>
        <w:ind w:left="142"/>
        <w:rPr>
          <w:sz w:val="16"/>
          <w:szCs w:val="16"/>
        </w:rPr>
      </w:pPr>
    </w:p>
    <w:p w14:paraId="2246D9C6" w14:textId="77777777" w:rsidR="00661AA9" w:rsidRPr="00101836" w:rsidRDefault="00661AA9" w:rsidP="00661AA9">
      <w:pPr>
        <w:pStyle w:val="21"/>
        <w:numPr>
          <w:ilvl w:val="0"/>
          <w:numId w:val="16"/>
        </w:numPr>
        <w:shd w:val="clear" w:color="auto" w:fill="auto"/>
        <w:tabs>
          <w:tab w:val="left" w:pos="240"/>
        </w:tabs>
        <w:spacing w:after="202" w:line="210" w:lineRule="exact"/>
        <w:jc w:val="center"/>
        <w:rPr>
          <w:b/>
          <w:bCs/>
          <w:sz w:val="20"/>
          <w:szCs w:val="20"/>
        </w:rPr>
      </w:pPr>
      <w:r w:rsidRPr="00500786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5BE91D52" w14:textId="4AFC0C9A" w:rsidR="00910D34" w:rsidRPr="00500786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500786">
        <w:rPr>
          <w:sz w:val="16"/>
          <w:szCs w:val="16"/>
        </w:rPr>
        <w:t>Меры безопасности.</w:t>
      </w:r>
    </w:p>
    <w:p w14:paraId="19CC016B" w14:textId="48B34A9E" w:rsidR="00910D34" w:rsidRPr="00500786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К монтажу и обслуживанию </w:t>
      </w:r>
      <w:r w:rsidR="00661AA9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500786">
        <w:rPr>
          <w:sz w:val="16"/>
          <w:szCs w:val="16"/>
        </w:rPr>
        <w:t xml:space="preserve">технике безопасности не ниже </w:t>
      </w:r>
      <w:r w:rsidR="00A542EA" w:rsidRPr="00500786">
        <w:rPr>
          <w:sz w:val="16"/>
          <w:szCs w:val="16"/>
          <w:lang w:val="en-US"/>
        </w:rPr>
        <w:t>III</w:t>
      </w:r>
      <w:r w:rsidRPr="00500786">
        <w:rPr>
          <w:sz w:val="16"/>
          <w:szCs w:val="16"/>
        </w:rPr>
        <w:t>.</w:t>
      </w:r>
    </w:p>
    <w:p w14:paraId="425F1274" w14:textId="0BC81548" w:rsidR="00F908C5" w:rsidRPr="00500786" w:rsidRDefault="00661AA9" w:rsidP="00F908C5">
      <w:pPr>
        <w:ind w:left="708"/>
        <w:rPr>
          <w:sz w:val="16"/>
          <w:szCs w:val="16"/>
        </w:rPr>
      </w:pPr>
      <w:r w:rsidRPr="00500786">
        <w:rPr>
          <w:sz w:val="16"/>
          <w:szCs w:val="16"/>
        </w:rPr>
        <w:t>5</w:t>
      </w:r>
      <w:r w:rsidR="00F908C5" w:rsidRPr="00500786">
        <w:rPr>
          <w:sz w:val="16"/>
          <w:szCs w:val="16"/>
        </w:rPr>
        <w:t xml:space="preserve">.1.2 Корпус </w:t>
      </w:r>
      <w:r w:rsidRPr="00500786">
        <w:rPr>
          <w:sz w:val="16"/>
          <w:szCs w:val="16"/>
        </w:rPr>
        <w:t>НКУ</w:t>
      </w:r>
      <w:r w:rsidR="00F908C5" w:rsidRPr="00500786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14:paraId="2D4F1AD0" w14:textId="1842376E" w:rsidR="00F908C5" w:rsidRPr="00500786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500786">
        <w:rPr>
          <w:sz w:val="16"/>
          <w:szCs w:val="16"/>
        </w:rPr>
        <w:t>Монтаж</w:t>
      </w:r>
      <w:r w:rsidR="00661AA9" w:rsidRPr="00500786">
        <w:rPr>
          <w:sz w:val="16"/>
          <w:szCs w:val="16"/>
        </w:rPr>
        <w:t xml:space="preserve"> НКУ</w:t>
      </w:r>
      <w:r w:rsidRPr="00500786">
        <w:rPr>
          <w:sz w:val="16"/>
          <w:szCs w:val="16"/>
        </w:rPr>
        <w:t>.</w:t>
      </w:r>
    </w:p>
    <w:p w14:paraId="4EC46FAF" w14:textId="77777777" w:rsidR="00F908C5" w:rsidRPr="00500786" w:rsidRDefault="00F908C5" w:rsidP="00F908C5">
      <w:pPr>
        <w:ind w:left="360"/>
        <w:rPr>
          <w:sz w:val="16"/>
          <w:szCs w:val="16"/>
        </w:rPr>
      </w:pPr>
    </w:p>
    <w:p w14:paraId="60FD6969" w14:textId="377BE220" w:rsidR="00024967" w:rsidRPr="00500786" w:rsidRDefault="00900436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</w:t>
      </w:r>
      <w:r w:rsidR="00661AA9" w:rsidRPr="00500786">
        <w:rPr>
          <w:sz w:val="16"/>
          <w:szCs w:val="16"/>
        </w:rPr>
        <w:t>НКУ</w:t>
      </w:r>
      <w:r w:rsidR="00F908C5" w:rsidRPr="00500786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74C1BD01" w14:textId="64B0406E" w:rsidR="00024967" w:rsidRPr="00500786" w:rsidRDefault="00B27381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</w:t>
      </w:r>
      <w:r w:rsidR="00024967" w:rsidRPr="00500786">
        <w:rPr>
          <w:sz w:val="16"/>
          <w:szCs w:val="16"/>
        </w:rPr>
        <w:t xml:space="preserve"> </w:t>
      </w:r>
      <w:r w:rsidR="00661AA9" w:rsidRPr="00500786">
        <w:rPr>
          <w:sz w:val="16"/>
          <w:szCs w:val="16"/>
        </w:rPr>
        <w:t>НКУ</w:t>
      </w:r>
      <w:r w:rsidR="00024967" w:rsidRPr="00500786">
        <w:rPr>
          <w:sz w:val="16"/>
          <w:szCs w:val="16"/>
        </w:rPr>
        <w:t xml:space="preserve">, предназначенное для установки вне </w:t>
      </w:r>
      <w:proofErr w:type="spellStart"/>
      <w:r w:rsidR="00D01D5E" w:rsidRPr="00500786">
        <w:rPr>
          <w:sz w:val="16"/>
          <w:szCs w:val="16"/>
        </w:rPr>
        <w:t>электро</w:t>
      </w:r>
      <w:r w:rsidR="00C2010D" w:rsidRPr="00500786">
        <w:rPr>
          <w:sz w:val="16"/>
          <w:szCs w:val="16"/>
        </w:rPr>
        <w:t>щитового</w:t>
      </w:r>
      <w:proofErr w:type="spellEnd"/>
      <w:r w:rsidR="00024967" w:rsidRPr="00500786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14:paraId="477CC3BA" w14:textId="5FE98435" w:rsidR="00024967" w:rsidRPr="00500786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Перед установкой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500786">
        <w:rPr>
          <w:sz w:val="16"/>
          <w:szCs w:val="16"/>
        </w:rPr>
        <w:t>указаны</w:t>
      </w:r>
      <w:r w:rsidRPr="00500786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14:paraId="186D93DC" w14:textId="5C402B6A" w:rsidR="00024967" w:rsidRPr="00500786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500786">
        <w:rPr>
          <w:sz w:val="16"/>
          <w:szCs w:val="16"/>
        </w:rPr>
        <w:t>узлов, аппаратов</w:t>
      </w:r>
      <w:r w:rsidRPr="00500786">
        <w:rPr>
          <w:sz w:val="16"/>
          <w:szCs w:val="16"/>
        </w:rPr>
        <w:t>, изоляции электрических цепей.</w:t>
      </w:r>
    </w:p>
    <w:p w14:paraId="3ECE17DE" w14:textId="5B6746D0" w:rsidR="00024967" w:rsidRPr="00500786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Установить </w:t>
      </w:r>
      <w:r w:rsidR="00C2010D" w:rsidRPr="00500786">
        <w:rPr>
          <w:sz w:val="16"/>
          <w:szCs w:val="16"/>
        </w:rPr>
        <w:t>НК</w:t>
      </w:r>
      <w:r w:rsidRPr="00500786">
        <w:rPr>
          <w:sz w:val="16"/>
          <w:szCs w:val="16"/>
        </w:rPr>
        <w:t>У на месте эксплуатации и закрепить.</w:t>
      </w:r>
    </w:p>
    <w:p w14:paraId="58A4B86A" w14:textId="05EAA8DE" w:rsidR="00C2010D" w:rsidRPr="00500786" w:rsidRDefault="00C2010D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500786">
        <w:rPr>
          <w:sz w:val="16"/>
          <w:szCs w:val="16"/>
        </w:rPr>
        <w:t xml:space="preserve">       </w:t>
      </w:r>
      <w:r w:rsidR="005F19E0" w:rsidRPr="00500786">
        <w:rPr>
          <w:sz w:val="16"/>
          <w:szCs w:val="16"/>
        </w:rPr>
        <w:t xml:space="preserve"> П</w:t>
      </w:r>
      <w:r w:rsidR="0025465D" w:rsidRPr="00500786">
        <w:rPr>
          <w:sz w:val="16"/>
          <w:szCs w:val="16"/>
        </w:rPr>
        <w:t>роизвести подключение внешних кабелей и проводов к зажимам</w:t>
      </w:r>
      <w:r w:rsidR="005F19E0" w:rsidRPr="00500786">
        <w:rPr>
          <w:sz w:val="16"/>
          <w:szCs w:val="16"/>
        </w:rPr>
        <w:t xml:space="preserve"> соответствующих аппаратов, шинных мостов.</w:t>
      </w:r>
      <w:r w:rsidRPr="00500786">
        <w:rPr>
          <w:sz w:val="16"/>
          <w:szCs w:val="16"/>
        </w:rPr>
        <w:t xml:space="preserve"> Зажимы пригодны для присоединения к ним медных проводников.</w:t>
      </w:r>
      <w:r w:rsidRPr="00500786">
        <w:rPr>
          <w:color w:val="000000"/>
          <w:sz w:val="16"/>
          <w:szCs w:val="16"/>
        </w:rPr>
        <w:t xml:space="preserve"> </w:t>
      </w:r>
    </w:p>
    <w:p w14:paraId="73647EFA" w14:textId="4128B63E" w:rsidR="005F19E0" w:rsidRPr="00500786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Произвести заземление корпуса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, используя </w:t>
      </w:r>
      <w:r w:rsidR="003411C3" w:rsidRPr="00500786">
        <w:rPr>
          <w:sz w:val="16"/>
          <w:szCs w:val="16"/>
        </w:rPr>
        <w:t>при этом заземляющие устройства</w:t>
      </w:r>
      <w:r w:rsidRPr="00500786">
        <w:rPr>
          <w:sz w:val="16"/>
          <w:szCs w:val="16"/>
        </w:rPr>
        <w:t>.</w:t>
      </w:r>
    </w:p>
    <w:p w14:paraId="71682664" w14:textId="2D9D3072" w:rsidR="003411C3" w:rsidRPr="00500786" w:rsidRDefault="003411C3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Pr="00500786">
        <w:rPr>
          <w:sz w:val="16"/>
          <w:szCs w:val="16"/>
          <w:lang w:val="en-US"/>
        </w:rPr>
        <w:t>TN</w:t>
      </w:r>
      <w:r w:rsidRPr="00500786">
        <w:rPr>
          <w:sz w:val="16"/>
          <w:szCs w:val="16"/>
        </w:rPr>
        <w:t>-</w:t>
      </w:r>
      <w:r w:rsidRPr="00500786">
        <w:rPr>
          <w:sz w:val="16"/>
          <w:szCs w:val="16"/>
          <w:lang w:val="en-US"/>
        </w:rPr>
        <w:t>C</w:t>
      </w:r>
      <w:r w:rsidRPr="00500786">
        <w:rPr>
          <w:sz w:val="16"/>
          <w:szCs w:val="16"/>
        </w:rPr>
        <w:t xml:space="preserve"> (</w:t>
      </w:r>
      <w:r w:rsidRPr="00500786">
        <w:rPr>
          <w:sz w:val="16"/>
          <w:szCs w:val="16"/>
          <w:lang w:val="en-US"/>
        </w:rPr>
        <w:t>N</w:t>
      </w:r>
      <w:r w:rsidRPr="00500786">
        <w:rPr>
          <w:sz w:val="16"/>
          <w:szCs w:val="16"/>
        </w:rPr>
        <w:t xml:space="preserve"> и </w:t>
      </w:r>
      <w:r w:rsidRPr="00500786">
        <w:rPr>
          <w:sz w:val="16"/>
          <w:szCs w:val="16"/>
          <w:lang w:val="en-US"/>
        </w:rPr>
        <w:t>PE</w:t>
      </w:r>
      <w:r w:rsidR="00C2010D" w:rsidRPr="00500786">
        <w:rPr>
          <w:sz w:val="16"/>
          <w:szCs w:val="16"/>
        </w:rPr>
        <w:t xml:space="preserve"> </w:t>
      </w:r>
      <w:proofErr w:type="spellStart"/>
      <w:r w:rsidR="00C2010D" w:rsidRPr="00500786">
        <w:rPr>
          <w:sz w:val="16"/>
          <w:szCs w:val="16"/>
        </w:rPr>
        <w:t>с</w:t>
      </w:r>
      <w:r w:rsidRPr="00500786">
        <w:rPr>
          <w:sz w:val="16"/>
          <w:szCs w:val="16"/>
        </w:rPr>
        <w:t>оеди</w:t>
      </w:r>
      <w:r w:rsidR="00C2010D" w:rsidRPr="00500786">
        <w:rPr>
          <w:sz w:val="16"/>
          <w:szCs w:val="16"/>
        </w:rPr>
        <w:t>-</w:t>
      </w:r>
      <w:r w:rsidRPr="00500786">
        <w:rPr>
          <w:sz w:val="16"/>
          <w:szCs w:val="16"/>
        </w:rPr>
        <w:t>нены</w:t>
      </w:r>
      <w:proofErr w:type="spellEnd"/>
      <w:r w:rsidRPr="00500786">
        <w:rPr>
          <w:sz w:val="16"/>
          <w:szCs w:val="16"/>
        </w:rPr>
        <w:t xml:space="preserve"> перемычкой). Для работы с питающей сетью </w:t>
      </w:r>
      <w:r w:rsidRPr="00500786">
        <w:rPr>
          <w:sz w:val="16"/>
          <w:szCs w:val="16"/>
          <w:lang w:val="en-US"/>
        </w:rPr>
        <w:t>TN</w:t>
      </w:r>
      <w:r w:rsidRPr="00500786">
        <w:rPr>
          <w:sz w:val="16"/>
          <w:szCs w:val="16"/>
        </w:rPr>
        <w:t>-</w:t>
      </w:r>
      <w:r w:rsidRPr="00500786">
        <w:rPr>
          <w:sz w:val="16"/>
          <w:szCs w:val="16"/>
          <w:lang w:val="en-US"/>
        </w:rPr>
        <w:t>S</w:t>
      </w:r>
      <w:r w:rsidRPr="00500786">
        <w:rPr>
          <w:sz w:val="16"/>
          <w:szCs w:val="16"/>
        </w:rPr>
        <w:t xml:space="preserve"> перемычку между шинами </w:t>
      </w:r>
      <w:r w:rsidRPr="00500786">
        <w:rPr>
          <w:sz w:val="16"/>
          <w:szCs w:val="16"/>
          <w:lang w:val="en-US"/>
        </w:rPr>
        <w:t>N</w:t>
      </w:r>
      <w:r w:rsidRPr="00500786">
        <w:rPr>
          <w:sz w:val="16"/>
          <w:szCs w:val="16"/>
        </w:rPr>
        <w:t xml:space="preserve"> и </w:t>
      </w:r>
      <w:r w:rsidRPr="00500786">
        <w:rPr>
          <w:sz w:val="16"/>
          <w:szCs w:val="16"/>
          <w:lang w:val="en-US"/>
        </w:rPr>
        <w:t>PE</w:t>
      </w:r>
      <w:r w:rsidRPr="00500786">
        <w:rPr>
          <w:sz w:val="16"/>
          <w:szCs w:val="16"/>
        </w:rPr>
        <w:t xml:space="preserve"> следует удалить. </w:t>
      </w:r>
    </w:p>
    <w:p w14:paraId="4395C7FC" w14:textId="77777777" w:rsidR="005F19E0" w:rsidRPr="00500786" w:rsidRDefault="005F19E0" w:rsidP="005F19E0">
      <w:pPr>
        <w:rPr>
          <w:sz w:val="16"/>
          <w:szCs w:val="16"/>
        </w:rPr>
      </w:pPr>
    </w:p>
    <w:p w14:paraId="6425D98C" w14:textId="77777777" w:rsidR="005F19E0" w:rsidRPr="00500786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500786">
        <w:rPr>
          <w:sz w:val="16"/>
          <w:szCs w:val="16"/>
        </w:rPr>
        <w:t>Техническое обслуживание.</w:t>
      </w:r>
    </w:p>
    <w:p w14:paraId="7A903340" w14:textId="27D48BC3" w:rsidR="005F19E0" w:rsidRPr="00500786" w:rsidRDefault="00C2010D" w:rsidP="005F19E0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>5.</w:t>
      </w:r>
      <w:r w:rsidR="005F19E0" w:rsidRPr="00500786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0940499D" w14:textId="77777777" w:rsidR="005F19E0" w:rsidRPr="00500786" w:rsidRDefault="005F19E0" w:rsidP="00A70510">
      <w:pPr>
        <w:ind w:left="1134"/>
        <w:rPr>
          <w:sz w:val="16"/>
          <w:szCs w:val="16"/>
        </w:rPr>
      </w:pPr>
      <w:r w:rsidRPr="00500786">
        <w:rPr>
          <w:sz w:val="16"/>
          <w:szCs w:val="16"/>
        </w:rPr>
        <w:t>а)    состояние контактных зажимов и крепежа;</w:t>
      </w:r>
    </w:p>
    <w:p w14:paraId="0254CCED" w14:textId="77777777" w:rsidR="005F19E0" w:rsidRPr="00500786" w:rsidRDefault="005F19E0" w:rsidP="00A70510">
      <w:pPr>
        <w:ind w:left="1134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b</w:t>
      </w:r>
      <w:r w:rsidRPr="00500786">
        <w:rPr>
          <w:sz w:val="16"/>
          <w:szCs w:val="16"/>
        </w:rPr>
        <w:t>)    состояние заземления;</w:t>
      </w:r>
    </w:p>
    <w:p w14:paraId="0A465F1E" w14:textId="77777777" w:rsidR="005F19E0" w:rsidRPr="00500786" w:rsidRDefault="005F19E0" w:rsidP="00A70510">
      <w:pPr>
        <w:ind w:left="1134"/>
        <w:rPr>
          <w:sz w:val="16"/>
          <w:szCs w:val="16"/>
        </w:rPr>
      </w:pPr>
      <w:r w:rsidRPr="00500786">
        <w:rPr>
          <w:sz w:val="16"/>
          <w:szCs w:val="16"/>
        </w:rPr>
        <w:t>с)    целостность корпуса.</w:t>
      </w:r>
    </w:p>
    <w:p w14:paraId="62C87C72" w14:textId="065679A4" w:rsidR="005F19E0" w:rsidRPr="00500786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Полный осмотр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производить</w:t>
      </w:r>
      <w:r w:rsidR="00A35E3B" w:rsidRPr="00500786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14:paraId="00A758C9" w14:textId="77777777" w:rsidR="00A35E3B" w:rsidRPr="00500786" w:rsidRDefault="00A35E3B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>а)    убедиться в исправности всех элементов пункта;</w:t>
      </w:r>
    </w:p>
    <w:p w14:paraId="2F05C434" w14:textId="77777777" w:rsidR="00A35E3B" w:rsidRPr="00500786" w:rsidRDefault="00A35E3B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b</w:t>
      </w:r>
      <w:r w:rsidRPr="00500786">
        <w:rPr>
          <w:sz w:val="16"/>
          <w:szCs w:val="16"/>
        </w:rPr>
        <w:t xml:space="preserve">)    </w:t>
      </w:r>
      <w:r w:rsidR="00A70510" w:rsidRPr="00500786">
        <w:rPr>
          <w:sz w:val="16"/>
          <w:szCs w:val="16"/>
        </w:rPr>
        <w:t>Проверить</w:t>
      </w:r>
      <w:r w:rsidRPr="00500786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14:paraId="0B44C6AD" w14:textId="77777777" w:rsidR="00A35E3B" w:rsidRPr="00500786" w:rsidRDefault="00A35E3B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>с)    заменить сильно изношенные детали новыми.</w:t>
      </w:r>
    </w:p>
    <w:p w14:paraId="18183162" w14:textId="5F163070" w:rsidR="00C2010D" w:rsidRPr="00500786" w:rsidRDefault="00C2010D" w:rsidP="00C2010D">
      <w:pPr>
        <w:ind w:left="720" w:hanging="11"/>
        <w:rPr>
          <w:sz w:val="16"/>
          <w:szCs w:val="16"/>
        </w:rPr>
      </w:pPr>
      <w:r w:rsidRPr="00500786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8869A46" w14:textId="77777777" w:rsidR="00A35E3B" w:rsidRPr="00500786" w:rsidRDefault="00A35E3B" w:rsidP="00A35E3B">
      <w:pPr>
        <w:ind w:left="720"/>
        <w:rPr>
          <w:sz w:val="16"/>
          <w:szCs w:val="16"/>
        </w:rPr>
      </w:pPr>
    </w:p>
    <w:p w14:paraId="0ED95333" w14:textId="77777777" w:rsidR="00A35E3B" w:rsidRPr="00500786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500786">
        <w:rPr>
          <w:b/>
          <w:sz w:val="20"/>
          <w:szCs w:val="20"/>
        </w:rPr>
        <w:t>Транспортирование и хранение</w:t>
      </w:r>
      <w:r w:rsidRPr="00500786">
        <w:rPr>
          <w:sz w:val="20"/>
          <w:szCs w:val="20"/>
        </w:rPr>
        <w:t>.</w:t>
      </w:r>
      <w:r w:rsidRPr="00500786">
        <w:rPr>
          <w:sz w:val="16"/>
          <w:szCs w:val="16"/>
        </w:rPr>
        <w:t xml:space="preserve">                                                          </w:t>
      </w:r>
    </w:p>
    <w:p w14:paraId="6CA91A96" w14:textId="77777777" w:rsidR="00392157" w:rsidRPr="00500786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500786">
        <w:rPr>
          <w:sz w:val="16"/>
          <w:szCs w:val="16"/>
        </w:rPr>
        <w:t xml:space="preserve">6.1 Упакованное изделие </w:t>
      </w:r>
      <w:r w:rsidRPr="00500786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500786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E6DCBCD" w14:textId="738EF2E2" w:rsidR="00392157" w:rsidRPr="00500786" w:rsidRDefault="00392157" w:rsidP="00392157">
      <w:pPr>
        <w:ind w:left="709"/>
        <w:rPr>
          <w:sz w:val="16"/>
          <w:szCs w:val="16"/>
        </w:rPr>
      </w:pPr>
      <w:r w:rsidRPr="00500786">
        <w:rPr>
          <w:color w:val="000000"/>
          <w:sz w:val="16"/>
          <w:szCs w:val="16"/>
        </w:rPr>
        <w:t>6.2Условия транспортирования по воздействию механических фак</w:t>
      </w:r>
      <w:r w:rsidRPr="00500786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500786">
        <w:rPr>
          <w:sz w:val="16"/>
          <w:szCs w:val="16"/>
        </w:rPr>
        <w:t>+50</w:t>
      </w:r>
      <w:r w:rsidRPr="00500786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500786">
        <w:rPr>
          <w:color w:val="000000"/>
          <w:sz w:val="16"/>
          <w:szCs w:val="16"/>
        </w:rPr>
        <w:t>мм.рт.ст</w:t>
      </w:r>
      <w:proofErr w:type="spellEnd"/>
      <w:r w:rsidRPr="00500786">
        <w:rPr>
          <w:color w:val="000000"/>
          <w:sz w:val="16"/>
          <w:szCs w:val="16"/>
        </w:rPr>
        <w:t>.), а также правилам и нормам, действующим на данных видах транспорта</w:t>
      </w:r>
    </w:p>
    <w:p w14:paraId="007263A2" w14:textId="67AB50CA" w:rsidR="00A35E3B" w:rsidRPr="00500786" w:rsidRDefault="005C71A8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крытым транспортным средством без упаковки.</w:t>
      </w:r>
    </w:p>
    <w:p w14:paraId="1BED3353" w14:textId="72CB4E45" w:rsidR="005C71A8" w:rsidRPr="00500786" w:rsidRDefault="00392157" w:rsidP="005C71A8">
      <w:pPr>
        <w:numPr>
          <w:ilvl w:val="1"/>
          <w:numId w:val="10"/>
        </w:numPr>
        <w:rPr>
          <w:sz w:val="16"/>
          <w:szCs w:val="16"/>
        </w:rPr>
      </w:pPr>
      <w:r w:rsidRPr="00500786">
        <w:rPr>
          <w:sz w:val="16"/>
          <w:szCs w:val="16"/>
        </w:rPr>
        <w:t>НКУ</w:t>
      </w:r>
      <w:r w:rsidR="005C71A8" w:rsidRPr="00500786">
        <w:rPr>
          <w:sz w:val="16"/>
          <w:szCs w:val="16"/>
        </w:rPr>
        <w:t xml:space="preserve"> до введения в эксплуатацию должны храниться:</w:t>
      </w:r>
    </w:p>
    <w:p w14:paraId="75D6B6C3" w14:textId="77777777" w:rsidR="005C71A8" w:rsidRPr="00500786" w:rsidRDefault="005C71A8" w:rsidP="005C71A8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 xml:space="preserve">        -  упакованные  -  условия хранения 2 по ГОСТ 15150;</w:t>
      </w:r>
    </w:p>
    <w:p w14:paraId="1B9B498D" w14:textId="75260ABD" w:rsidR="00A35E3B" w:rsidRPr="00326E62" w:rsidRDefault="005C71A8" w:rsidP="00EB163A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 xml:space="preserve">        -  неупакованные  -  условия хранения 1 по ГОСТ 15150.</w:t>
      </w:r>
      <w:r w:rsidR="006959E3">
        <w:rPr>
          <w:noProof/>
        </w:rPr>
        <w:drawing>
          <wp:anchor distT="0" distB="0" distL="114300" distR="114300" simplePos="0" relativeHeight="251658240" behindDoc="0" locked="0" layoutInCell="1" allowOverlap="1" wp14:anchorId="6FBB8A57" wp14:editId="08B70CA4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E3B" w:rsidRPr="00326E6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CCA7" w14:textId="77777777" w:rsidR="00DA18F7" w:rsidRDefault="00DA18F7" w:rsidP="00FA4647">
      <w:r>
        <w:separator/>
      </w:r>
    </w:p>
  </w:endnote>
  <w:endnote w:type="continuationSeparator" w:id="0">
    <w:p w14:paraId="4A253A95" w14:textId="77777777" w:rsidR="00DA18F7" w:rsidRDefault="00DA18F7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A3A1" w14:textId="77777777" w:rsidR="00DA18F7" w:rsidRDefault="00DA18F7" w:rsidP="00FA4647">
      <w:r>
        <w:separator/>
      </w:r>
    </w:p>
  </w:footnote>
  <w:footnote w:type="continuationSeparator" w:id="0">
    <w:p w14:paraId="7A4025B9" w14:textId="77777777" w:rsidR="00DA18F7" w:rsidRDefault="00DA18F7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C5"/>
    <w:rsid w:val="00006458"/>
    <w:rsid w:val="00024967"/>
    <w:rsid w:val="0005098C"/>
    <w:rsid w:val="0008424C"/>
    <w:rsid w:val="000B311B"/>
    <w:rsid w:val="000D6206"/>
    <w:rsid w:val="00136E2B"/>
    <w:rsid w:val="001604EA"/>
    <w:rsid w:val="00192175"/>
    <w:rsid w:val="001C6DAD"/>
    <w:rsid w:val="001D19D8"/>
    <w:rsid w:val="001E3979"/>
    <w:rsid w:val="00206774"/>
    <w:rsid w:val="00215431"/>
    <w:rsid w:val="00227E3F"/>
    <w:rsid w:val="0025465D"/>
    <w:rsid w:val="00284667"/>
    <w:rsid w:val="002F0B3A"/>
    <w:rsid w:val="00326E62"/>
    <w:rsid w:val="003332C8"/>
    <w:rsid w:val="0033651E"/>
    <w:rsid w:val="003403A7"/>
    <w:rsid w:val="003411C3"/>
    <w:rsid w:val="003529F3"/>
    <w:rsid w:val="003539FB"/>
    <w:rsid w:val="00385637"/>
    <w:rsid w:val="00390390"/>
    <w:rsid w:val="00392157"/>
    <w:rsid w:val="00396070"/>
    <w:rsid w:val="003C053F"/>
    <w:rsid w:val="00450ECA"/>
    <w:rsid w:val="00455919"/>
    <w:rsid w:val="00491BEF"/>
    <w:rsid w:val="004C4149"/>
    <w:rsid w:val="004C44BF"/>
    <w:rsid w:val="00500786"/>
    <w:rsid w:val="00543600"/>
    <w:rsid w:val="00574E93"/>
    <w:rsid w:val="005806EE"/>
    <w:rsid w:val="0058383F"/>
    <w:rsid w:val="00584F62"/>
    <w:rsid w:val="005958A5"/>
    <w:rsid w:val="00597391"/>
    <w:rsid w:val="005A1E92"/>
    <w:rsid w:val="005A6E3C"/>
    <w:rsid w:val="005C71A8"/>
    <w:rsid w:val="005E01D2"/>
    <w:rsid w:val="005F19E0"/>
    <w:rsid w:val="00614B4C"/>
    <w:rsid w:val="00631E70"/>
    <w:rsid w:val="00661AA9"/>
    <w:rsid w:val="006959E3"/>
    <w:rsid w:val="006961BF"/>
    <w:rsid w:val="00712502"/>
    <w:rsid w:val="00741CC2"/>
    <w:rsid w:val="00774381"/>
    <w:rsid w:val="007F50CA"/>
    <w:rsid w:val="007F66A6"/>
    <w:rsid w:val="00836CD4"/>
    <w:rsid w:val="0087270E"/>
    <w:rsid w:val="0088200E"/>
    <w:rsid w:val="008B645D"/>
    <w:rsid w:val="008D41E9"/>
    <w:rsid w:val="00900436"/>
    <w:rsid w:val="00910D34"/>
    <w:rsid w:val="00912E0D"/>
    <w:rsid w:val="00946988"/>
    <w:rsid w:val="0096757C"/>
    <w:rsid w:val="0098049E"/>
    <w:rsid w:val="009D060B"/>
    <w:rsid w:val="009E2B51"/>
    <w:rsid w:val="009E46D4"/>
    <w:rsid w:val="00A35E3B"/>
    <w:rsid w:val="00A420F6"/>
    <w:rsid w:val="00A46181"/>
    <w:rsid w:val="00A542EA"/>
    <w:rsid w:val="00A66304"/>
    <w:rsid w:val="00A70510"/>
    <w:rsid w:val="00A82C52"/>
    <w:rsid w:val="00AA0703"/>
    <w:rsid w:val="00AB29F0"/>
    <w:rsid w:val="00AB457C"/>
    <w:rsid w:val="00AC4964"/>
    <w:rsid w:val="00AD29FC"/>
    <w:rsid w:val="00AE4F43"/>
    <w:rsid w:val="00B1437C"/>
    <w:rsid w:val="00B27381"/>
    <w:rsid w:val="00B32D9E"/>
    <w:rsid w:val="00C02E93"/>
    <w:rsid w:val="00C03F3C"/>
    <w:rsid w:val="00C2010D"/>
    <w:rsid w:val="00C32DEC"/>
    <w:rsid w:val="00C41DEC"/>
    <w:rsid w:val="00C43642"/>
    <w:rsid w:val="00C47DCC"/>
    <w:rsid w:val="00C51A6B"/>
    <w:rsid w:val="00C57A31"/>
    <w:rsid w:val="00C62A53"/>
    <w:rsid w:val="00CA32E6"/>
    <w:rsid w:val="00CB31B3"/>
    <w:rsid w:val="00CC4A54"/>
    <w:rsid w:val="00D01D5E"/>
    <w:rsid w:val="00D06B03"/>
    <w:rsid w:val="00D077A9"/>
    <w:rsid w:val="00D65F5B"/>
    <w:rsid w:val="00D75F32"/>
    <w:rsid w:val="00DA18F7"/>
    <w:rsid w:val="00DB2B00"/>
    <w:rsid w:val="00DB73A2"/>
    <w:rsid w:val="00DD6A1D"/>
    <w:rsid w:val="00E66EF8"/>
    <w:rsid w:val="00E726A6"/>
    <w:rsid w:val="00E740BE"/>
    <w:rsid w:val="00EA1597"/>
    <w:rsid w:val="00EB163A"/>
    <w:rsid w:val="00ED16C5"/>
    <w:rsid w:val="00ED6BD8"/>
    <w:rsid w:val="00EF3A40"/>
    <w:rsid w:val="00F30DAB"/>
    <w:rsid w:val="00F457F0"/>
    <w:rsid w:val="00F57088"/>
    <w:rsid w:val="00F632EC"/>
    <w:rsid w:val="00F908C5"/>
    <w:rsid w:val="00FA4647"/>
    <w:rsid w:val="00FB6D67"/>
    <w:rsid w:val="00FD1523"/>
    <w:rsid w:val="00FE18E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592C1"/>
  <w15:docId w15:val="{1479950F-9C2D-45C6-BE74-C20AAA5A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C144-637C-44FA-BCF3-2B071355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Администратор</dc:creator>
  <cp:keywords/>
  <dc:description/>
  <cp:lastModifiedBy>Автоматика</cp:lastModifiedBy>
  <cp:revision>14</cp:revision>
  <cp:lastPrinted>2021-05-06T07:10:00Z</cp:lastPrinted>
  <dcterms:created xsi:type="dcterms:W3CDTF">2021-02-18T03:45:00Z</dcterms:created>
  <dcterms:modified xsi:type="dcterms:W3CDTF">2021-05-06T07:18:00Z</dcterms:modified>
</cp:coreProperties>
</file>